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sz w:val="44"/>
          <w:shd w:val="clear" w:color="auto" w:fill="FFFFFF"/>
        </w:rPr>
      </w:pPr>
      <w:r>
        <w:rPr>
          <w:rFonts w:eastAsia="方正小标宋简体"/>
          <w:b/>
          <w:bCs/>
          <w:sz w:val="44"/>
          <w:shd w:val="clear" w:color="auto" w:fill="FFFFFF"/>
        </w:rPr>
        <w:t>201</w:t>
      </w:r>
      <w:r>
        <w:rPr>
          <w:rFonts w:hint="eastAsia" w:eastAsia="方正小标宋简体"/>
          <w:b/>
          <w:bCs/>
          <w:sz w:val="44"/>
          <w:shd w:val="clear" w:color="auto" w:fill="FFFFFF"/>
        </w:rPr>
        <w:t>8</w:t>
      </w:r>
      <w:r>
        <w:rPr>
          <w:rFonts w:eastAsia="方正小标宋简体"/>
          <w:sz w:val="44"/>
          <w:shd w:val="clear" w:color="auto" w:fill="FFFFFF"/>
        </w:rPr>
        <w:t>年广东省食品安全地方标准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hd w:val="clear" w:color="auto" w:fill="FFFFFF"/>
          <w:lang w:eastAsia="zh-CN"/>
        </w:rPr>
      </w:pPr>
      <w:r>
        <w:rPr>
          <w:rFonts w:eastAsia="方正小标宋简体"/>
          <w:sz w:val="44"/>
          <w:shd w:val="clear" w:color="auto" w:fill="FFFFFF"/>
        </w:rPr>
        <w:t>制</w:t>
      </w:r>
      <w:r>
        <w:rPr>
          <w:rFonts w:hint="eastAsia" w:eastAsia="方正小标宋简体"/>
          <w:sz w:val="44"/>
          <w:shd w:val="clear" w:color="auto" w:fill="FFFFFF"/>
          <w:lang w:eastAsia="zh-CN"/>
        </w:rPr>
        <w:t>修订</w:t>
      </w:r>
      <w:r>
        <w:rPr>
          <w:rFonts w:eastAsia="方正小标宋简体"/>
          <w:sz w:val="44"/>
          <w:shd w:val="clear" w:color="auto" w:fill="FFFFFF"/>
        </w:rPr>
        <w:t>立项</w:t>
      </w:r>
      <w:r>
        <w:rPr>
          <w:rFonts w:hint="eastAsia" w:eastAsia="方正小标宋简体"/>
          <w:sz w:val="44"/>
          <w:shd w:val="clear" w:color="auto" w:fill="FFFFFF"/>
          <w:lang w:eastAsia="zh-CN"/>
        </w:rPr>
        <w:t>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sz w:val="32"/>
          <w:szCs w:val="32"/>
          <w:shd w:val="clear" w:color="auto" w:fill="FFFFFF"/>
        </w:rPr>
      </w:pPr>
    </w:p>
    <w:tbl>
      <w:tblPr>
        <w:tblStyle w:val="3"/>
        <w:tblW w:w="9734" w:type="dxa"/>
        <w:jc w:val="center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832"/>
        <w:gridCol w:w="1815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83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建议标准项目名称</w:t>
            </w:r>
          </w:p>
        </w:tc>
        <w:tc>
          <w:tcPr>
            <w:tcW w:w="181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制定/修订</w:t>
            </w:r>
          </w:p>
        </w:tc>
        <w:tc>
          <w:tcPr>
            <w:tcW w:w="414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建议牵头起草单位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红葱粉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制定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广东省食品安全学会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鸡蛋花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制定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广东省食品学会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九制陈皮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制定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广东省食品安全学会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客家炒绿茶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制定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华南农业大学园艺学院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橄榄菜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制定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广东省食品安全学会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牛、羊组织及尿液中</w:t>
            </w:r>
            <w:r>
              <w:rPr>
                <w:rFonts w:eastAsia="仿宋_GB2312"/>
                <w:sz w:val="32"/>
                <w:szCs w:val="32"/>
              </w:rPr>
              <w:t>β-受体激动剂的检测 高效液相色谱-质谱法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制定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广东省农产品质量安全中心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白木香叶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制定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eastAsia="仿宋_GB2312"/>
                <w:spacing w:val="-9"/>
                <w:sz w:val="32"/>
                <w:szCs w:val="32"/>
              </w:rPr>
            </w:pPr>
            <w:r>
              <w:rPr>
                <w:rFonts w:hint="eastAsia" w:eastAsia="仿宋_GB2312"/>
                <w:spacing w:val="-9"/>
                <w:sz w:val="32"/>
                <w:szCs w:val="32"/>
              </w:rPr>
              <w:t>东莞市莞香园艺科技有限公司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eastAsia="仿宋_GB2312"/>
                <w:spacing w:val="-9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pacing w:val="-9"/>
                <w:sz w:val="32"/>
                <w:szCs w:val="32"/>
                <w:lang w:eastAsia="zh-CN"/>
              </w:rPr>
              <w:t>广东省疾病预防控制中心</w:t>
            </w: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951C8"/>
    <w:rsid w:val="457951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2018-08-30T09:40:00Z</dcterms:created>
  <dc:creator>Administrator</dc:creator>
  <cp:lastModifiedBy>Administrator</cp:lastModifiedBy>
  <dcterms:modified xsi:type="dcterms:W3CDTF">2018-08-30T09:41:23Z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