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附件4</w:t>
      </w:r>
    </w:p>
    <w:p>
      <w:pPr>
        <w:autoSpaceDE w:val="0"/>
        <w:autoSpaceDN w:val="0"/>
        <w:ind w:firstLine="643" w:firstLineChars="200"/>
        <w:jc w:val="center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学校卫生“双随机”抽查结果汇总表</w:t>
      </w:r>
    </w:p>
    <w:tbl>
      <w:tblPr>
        <w:tblStyle w:val="6"/>
        <w:tblW w:w="14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018"/>
        <w:gridCol w:w="1018"/>
        <w:gridCol w:w="1018"/>
        <w:gridCol w:w="1137"/>
        <w:gridCol w:w="1233"/>
        <w:gridCol w:w="922"/>
        <w:gridCol w:w="1137"/>
        <w:gridCol w:w="1331"/>
        <w:gridCol w:w="1230"/>
        <w:gridCol w:w="1275"/>
        <w:gridCol w:w="124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地区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教学环境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学校传染病与常见病防控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学校饮用水卫生管理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学校饮用水水质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学校数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合格率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学校数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合格率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检查使用自建集中式供水学校数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水源卫生防护合格率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水质消毒设施装备率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检查使用二次供水学校数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蓄水池周围无污染源合格率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二次供水蓄水设施定期清洗消毒合格率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学校数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</w:rPr>
              <w:t>水质六项指标合格率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广州市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309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4.21%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324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83.64%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95.65%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43.48%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韶关市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17.28%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82.93%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33.33%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深圳市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210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5.71%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214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99.07%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66.67%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33.33%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珠海市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48.84%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95.35%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66.67%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汕头市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83.33%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佛山市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192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27.08%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193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88.60%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33.33%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33.33%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江门市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97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77.32%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87.00%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湛江市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39.39%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35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57.14%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90.91%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27.27%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55.56%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茂名市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188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34.57%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193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66.32%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44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79.55%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61.36%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92.31%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23.08%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肇庆市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125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47.20%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125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81.60%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66.67%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33.33%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惠州市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179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44.69%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180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97.78%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96.77%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32.26%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梅州市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70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28.57%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71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61.97%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汕尾市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221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75.57%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219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73.06%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河源市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299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99.67%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330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97.27%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86.79%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45.28%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阳江市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34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20.59%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35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清远市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18.03%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88.71%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东莞市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44.09%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94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77.66%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中山市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5.88%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98.08%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50.00%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潮州市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112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95.54%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112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75.00%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揭阳市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23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65.22%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24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95.83%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云浮市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49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65.31%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0.00%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合 计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2475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43.35%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2543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84.90%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84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84.52%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64.29%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167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86.23%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38.92%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82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42.68%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C77D7"/>
    <w:rsid w:val="617C77D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2018-07-02T01:14:00Z</dcterms:created>
  <dc:creator>Administrator</dc:creator>
  <cp:lastModifiedBy>Administrator</cp:lastModifiedBy>
  <dcterms:modified xsi:type="dcterms:W3CDTF">2018-07-02T01:15:38Z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